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楷体" w:hAnsi="楷体" w:eastAsia="楷体"/>
          <w:b/>
          <w:sz w:val="36"/>
          <w:szCs w:val="36"/>
        </w:rPr>
      </w:pPr>
      <w:r>
        <w:rPr>
          <w:rFonts w:hint="eastAsia" w:ascii="楷体" w:hAnsi="楷体" w:eastAsia="楷体"/>
          <w:b/>
          <w:sz w:val="36"/>
          <w:szCs w:val="36"/>
        </w:rPr>
        <w:t>上海物理气相沉积（PVD）超硬涂层及装备</w:t>
      </w:r>
    </w:p>
    <w:p>
      <w:pPr>
        <w:snapToGrid w:val="0"/>
        <w:spacing w:line="300" w:lineRule="auto"/>
        <w:jc w:val="center"/>
        <w:rPr>
          <w:rFonts w:hint="eastAsia" w:ascii="楷体" w:hAnsi="楷体" w:eastAsia="楷体"/>
          <w:b/>
          <w:sz w:val="36"/>
          <w:szCs w:val="36"/>
        </w:rPr>
      </w:pPr>
      <w:r>
        <w:rPr>
          <w:rFonts w:hint="eastAsia" w:ascii="楷体" w:hAnsi="楷体" w:eastAsia="楷体"/>
          <w:b/>
          <w:sz w:val="36"/>
          <w:szCs w:val="36"/>
        </w:rPr>
        <w:t>工程技术研究中心</w:t>
      </w:r>
    </w:p>
    <w:p>
      <w:pPr>
        <w:pStyle w:val="11"/>
        <w:numPr>
          <w:ilvl w:val="0"/>
          <w:numId w:val="0"/>
        </w:numPr>
        <w:snapToGrid w:val="0"/>
        <w:spacing w:line="300" w:lineRule="auto"/>
        <w:ind w:leftChars="0"/>
        <w:rPr>
          <w:rFonts w:hint="eastAsia" w:ascii="楷体" w:hAnsi="楷体" w:eastAsia="楷体" w:cs="楷体"/>
          <w:b/>
          <w:sz w:val="28"/>
          <w:szCs w:val="28"/>
          <w:lang w:eastAsia="zh-CN"/>
        </w:rPr>
      </w:pPr>
      <w:r>
        <w:rPr>
          <w:rFonts w:hint="eastAsia" w:ascii="楷体" w:hAnsi="楷体" w:eastAsia="楷体" w:cs="楷体"/>
          <w:b/>
          <w:sz w:val="28"/>
          <w:szCs w:val="28"/>
          <w:lang w:eastAsia="zh-CN"/>
        </w:rPr>
        <w:t>一、</w:t>
      </w:r>
      <w:r>
        <w:rPr>
          <w:rFonts w:hint="eastAsia" w:ascii="楷体" w:hAnsi="楷体" w:eastAsia="楷体" w:cs="楷体"/>
          <w:b/>
          <w:sz w:val="28"/>
          <w:szCs w:val="28"/>
        </w:rPr>
        <w:t>工程中心</w:t>
      </w:r>
      <w:r>
        <w:rPr>
          <w:rFonts w:hint="eastAsia" w:ascii="楷体" w:hAnsi="楷体" w:eastAsia="楷体" w:cs="楷体"/>
          <w:b/>
          <w:sz w:val="28"/>
          <w:szCs w:val="28"/>
          <w:lang w:eastAsia="zh-CN"/>
        </w:rPr>
        <w:t>简介</w:t>
      </w:r>
    </w:p>
    <w:p>
      <w:pPr>
        <w:snapToGrid w:val="0"/>
        <w:spacing w:line="300" w:lineRule="auto"/>
        <w:rPr>
          <w:rFonts w:ascii="楷体" w:hAnsi="楷体" w:eastAsia="楷体"/>
          <w:sz w:val="24"/>
        </w:rPr>
      </w:pPr>
      <w:r>
        <w:rPr>
          <w:rFonts w:hint="eastAsia" w:ascii="楷体" w:hAnsi="楷体" w:eastAsia="楷体"/>
          <w:sz w:val="24"/>
        </w:rPr>
        <w:t xml:space="preserve"> “上海物理气相沉积（PVD）超硬涂层及装备工程技术研究中心”于2018年11月经上海市科学技术委员会获批成立，是省部级工程技术研究中心。本工程中心开展了以下方面的研究：（1）物理气相沉积及其关键工艺技术开发；（2）</w:t>
      </w:r>
      <w:r>
        <w:rPr>
          <w:rFonts w:ascii="楷体" w:hAnsi="楷体" w:eastAsia="楷体"/>
          <w:sz w:val="24"/>
        </w:rPr>
        <w:t>表面技术相关装备国产化研究</w:t>
      </w:r>
      <w:r>
        <w:rPr>
          <w:rFonts w:hint="eastAsia" w:ascii="楷体" w:hAnsi="楷体" w:eastAsia="楷体"/>
          <w:sz w:val="24"/>
        </w:rPr>
        <w:t>；（3）</w:t>
      </w:r>
      <w:r>
        <w:rPr>
          <w:rFonts w:ascii="楷体" w:hAnsi="楷体" w:eastAsia="楷体"/>
          <w:sz w:val="24"/>
        </w:rPr>
        <w:t>表面检测技术的应用研究</w:t>
      </w:r>
      <w:r>
        <w:rPr>
          <w:rFonts w:hint="eastAsia" w:ascii="楷体" w:hAnsi="楷体" w:eastAsia="楷体"/>
          <w:sz w:val="24"/>
        </w:rPr>
        <w:t>。</w:t>
      </w:r>
    </w:p>
    <w:p>
      <w:pPr>
        <w:snapToGrid w:val="0"/>
        <w:spacing w:line="300" w:lineRule="auto"/>
        <w:ind w:firstLine="480" w:firstLineChars="200"/>
        <w:jc w:val="left"/>
        <w:rPr>
          <w:rFonts w:ascii="楷体" w:hAnsi="楷体" w:eastAsia="楷体"/>
          <w:sz w:val="24"/>
        </w:rPr>
      </w:pPr>
      <w:r>
        <w:rPr>
          <w:rFonts w:hint="eastAsia" w:ascii="楷体" w:hAnsi="楷体" w:eastAsia="楷体"/>
          <w:sz w:val="24"/>
        </w:rPr>
        <w:t>本工程中心拥有大型物理气相沉积涂层设备4套，大型自动化清洗线1套，各类切削测试机床、表面喷砂、涂层检测分析、装夹工具、工模具抛光等设备齐全，总资产超过</w:t>
      </w:r>
      <w:r>
        <w:rPr>
          <w:rFonts w:ascii="楷体" w:hAnsi="楷体" w:eastAsia="楷体"/>
          <w:sz w:val="24"/>
        </w:rPr>
        <w:t>5</w:t>
      </w:r>
      <w:r>
        <w:rPr>
          <w:rFonts w:hint="eastAsia" w:ascii="楷体" w:hAnsi="楷体" w:eastAsia="楷体"/>
          <w:sz w:val="24"/>
        </w:rPr>
        <w:t>000万元，占地1500平方米，</w:t>
      </w:r>
      <w:r>
        <w:rPr>
          <w:rFonts w:ascii="楷体" w:hAnsi="楷体" w:eastAsia="楷体"/>
          <w:sz w:val="24"/>
        </w:rPr>
        <w:t>专业团队人数达到</w:t>
      </w:r>
      <w:r>
        <w:rPr>
          <w:rFonts w:hint="eastAsia" w:ascii="楷体" w:hAnsi="楷体" w:eastAsia="楷体"/>
          <w:sz w:val="24"/>
        </w:rPr>
        <w:t>5</w:t>
      </w:r>
      <w:r>
        <w:rPr>
          <w:rFonts w:ascii="楷体" w:hAnsi="楷体" w:eastAsia="楷体"/>
          <w:sz w:val="24"/>
        </w:rPr>
        <w:t>0人，95%具有博士学位</w:t>
      </w:r>
      <w:r>
        <w:rPr>
          <w:rFonts w:hint="eastAsia" w:ascii="楷体" w:hAnsi="楷体" w:eastAsia="楷体"/>
          <w:sz w:val="24"/>
        </w:rPr>
        <w:t>。本</w:t>
      </w:r>
      <w:r>
        <w:rPr>
          <w:rFonts w:ascii="楷体" w:hAnsi="楷体" w:eastAsia="楷体"/>
          <w:sz w:val="24"/>
        </w:rPr>
        <w:t>工程中心实行管理委员会领导下的主任负责制和技术委员会咨询制，设主任1名</w:t>
      </w:r>
      <w:r>
        <w:rPr>
          <w:rFonts w:hint="eastAsia" w:ascii="楷体" w:hAnsi="楷体" w:eastAsia="楷体"/>
          <w:sz w:val="24"/>
        </w:rPr>
        <w:t>，</w:t>
      </w:r>
      <w:r>
        <w:rPr>
          <w:rFonts w:ascii="楷体" w:hAnsi="楷体" w:eastAsia="楷体"/>
          <w:sz w:val="24"/>
        </w:rPr>
        <w:t>领导中心全面工作；常务副主任1名</w:t>
      </w:r>
      <w:r>
        <w:rPr>
          <w:rFonts w:hint="eastAsia" w:ascii="楷体" w:hAnsi="楷体" w:eastAsia="楷体"/>
          <w:sz w:val="24"/>
        </w:rPr>
        <w:t>，负责日常的</w:t>
      </w:r>
      <w:r>
        <w:rPr>
          <w:rFonts w:ascii="楷体" w:hAnsi="楷体" w:eastAsia="楷体"/>
          <w:sz w:val="24"/>
        </w:rPr>
        <w:t>项目规划、组织开发和管理工作</w:t>
      </w:r>
      <w:r>
        <w:rPr>
          <w:rFonts w:hint="eastAsia" w:ascii="楷体" w:hAnsi="楷体" w:eastAsia="楷体"/>
          <w:sz w:val="24"/>
        </w:rPr>
        <w:t>。部门设置包括：</w:t>
      </w:r>
      <w:r>
        <w:rPr>
          <w:rFonts w:ascii="楷体" w:hAnsi="楷体" w:eastAsia="楷体"/>
          <w:sz w:val="24"/>
        </w:rPr>
        <w:t>技术研发部；工程部；学术交流培训部</w:t>
      </w:r>
      <w:r>
        <w:rPr>
          <w:rFonts w:hint="eastAsia" w:ascii="楷体" w:hAnsi="楷体" w:eastAsia="楷体"/>
          <w:sz w:val="24"/>
        </w:rPr>
        <w:t>；</w:t>
      </w:r>
      <w:r>
        <w:rPr>
          <w:rFonts w:ascii="楷体" w:hAnsi="楷体" w:eastAsia="楷体"/>
          <w:sz w:val="24"/>
        </w:rPr>
        <w:t>对外技术服务部</w:t>
      </w:r>
      <w:r>
        <w:rPr>
          <w:rFonts w:hint="eastAsia" w:ascii="楷体" w:hAnsi="楷体" w:eastAsia="楷体"/>
          <w:sz w:val="24"/>
        </w:rPr>
        <w:t>。</w:t>
      </w:r>
    </w:p>
    <w:p>
      <w:pPr>
        <w:snapToGrid w:val="0"/>
        <w:spacing w:line="300" w:lineRule="auto"/>
        <w:jc w:val="left"/>
        <w:rPr>
          <w:rFonts w:ascii="楷体" w:hAnsi="楷体" w:eastAsia="楷体"/>
          <w:sz w:val="24"/>
        </w:rPr>
      </w:pPr>
      <w:r>
        <w:pict>
          <v:shape id="文本框 2" o:spid="_x0000_s1032" o:spt="202" type="#_x0000_t202" style="position:absolute;left:0pt;margin-left:20.4pt;margin-top:30.85pt;height:148.65pt;width:400.55pt;mso-wrap-distance-bottom:0pt;mso-wrap-distance-left:9pt;mso-wrap-distance-right:9pt;mso-wrap-distance-top:0pt;z-index:251711488;mso-width-relative:margin;mso-height-relative:margin;"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">
            <v:path/>
            <v:fill opacity="0f" focussize="0,0"/>
            <v:stroke on="f" joinstyle="miter"/>
            <v:imagedata o:title=""/>
            <o:lock v:ext="edit"/>
            <v:textbox>
              <w:txbxContent>
                <w:p>
                  <w:r>
                    <w:rPr>
                      <w:rFonts w:ascii="楷体" w:hAnsi="楷体" w:eastAsia="楷体"/>
                      <w:sz w:val="24"/>
                    </w:rPr>
                    <w:drawing>
                      <wp:inline distT="0" distB="0" distL="0" distR="0">
                        <wp:extent cx="1896110" cy="1255395"/>
                        <wp:effectExtent l="0" t="0" r="0" b="0"/>
                        <wp:docPr id="3" name="图片 178" descr="C:\Users\机械\Desktop\20180321党政联席\校级工程中心简介\中国工程院院士徐滨士教授参观工程中心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8" descr="C:\Users\机械\Desktop\20180321党政联席\校级工程中心简介\中国工程院院士徐滨士教授参观工程中心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98797" cy="1257658"/>
                                </a:xfrm>
                                <a:prstGeom prst="rect">
                                  <a:avLst/>
                                </a:prstGeom>
                                <a:noFill/>
                                <a:ln>
                                  <a:noFill/>
                                </a:ln>
                              </pic:spPr>
                            </pic:pic>
                          </a:graphicData>
                        </a:graphic>
                      </wp:inline>
                    </w:drawing>
                  </w:r>
                  <w:r>
                    <w:rPr>
                      <w:rFonts w:ascii="楷体" w:hAnsi="楷体" w:eastAsia="楷体"/>
                      <w:sz w:val="24"/>
                    </w:rPr>
                    <w:drawing>
                      <wp:inline distT="0" distB="0" distL="0" distR="0">
                        <wp:extent cx="961390" cy="1257935"/>
                        <wp:effectExtent l="0" t="0" r="0" b="0"/>
                        <wp:docPr id="4" name="图片 179" descr="C:\Users\机械\Desktop\20180321党政联席\校级工程中心简介\上海市科技进步三等奖证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79" descr="C:\Users\机械\Desktop\20180321党政联席\校级工程中心简介\上海市科技进步三等奖证书.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66411" cy="1263768"/>
                                </a:xfrm>
                                <a:prstGeom prst="rect">
                                  <a:avLst/>
                                </a:prstGeom>
                                <a:noFill/>
                                <a:ln>
                                  <a:noFill/>
                                </a:ln>
                              </pic:spPr>
                            </pic:pic>
                          </a:graphicData>
                        </a:graphic>
                      </wp:inline>
                    </w:drawing>
                  </w:r>
                  <w:r>
                    <w:rPr>
                      <w:rFonts w:ascii="楷体" w:hAnsi="楷体" w:eastAsia="楷体"/>
                      <w:sz w:val="24"/>
                    </w:rPr>
                    <w:drawing>
                      <wp:inline distT="0" distB="0" distL="0" distR="0">
                        <wp:extent cx="1749425" cy="1261745"/>
                        <wp:effectExtent l="0" t="0" r="0" b="0"/>
                        <wp:docPr id="5" name="图片 180" descr="C:\Users\机械\Desktop\20180321党政联席\校级工程中心简介\图1上海市副市长翁铁慧以及上海市教育委员会主任陆靖参观工程中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80" descr="C:\Users\机械\Desktop\20180321党政联席\校级工程中心简介\图1上海市副市长翁铁慧以及上海市教育委员会主任陆靖参观工程中心.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750213" cy="1262318"/>
                                </a:xfrm>
                                <a:prstGeom prst="rect">
                                  <a:avLst/>
                                </a:prstGeom>
                                <a:noFill/>
                                <a:ln>
                                  <a:noFill/>
                                </a:ln>
                              </pic:spPr>
                            </pic:pic>
                          </a:graphicData>
                        </a:graphic>
                      </wp:inline>
                    </w:drawing>
                  </w:r>
                </w:p>
                <w:p>
                  <w:r>
                    <w:rPr>
                      <w:rFonts w:hint="eastAsia"/>
                    </w:rPr>
                    <w:t xml:space="preserve"> </w:t>
                  </w:r>
                </w:p>
              </w:txbxContent>
            </v:textbox>
            <w10:wrap type="square"/>
          </v:shape>
        </w:pict>
      </w:r>
    </w:p>
    <w:p>
      <w:pPr>
        <w:snapToGrid w:val="0"/>
        <w:spacing w:line="300" w:lineRule="auto"/>
        <w:ind w:firstLine="480" w:firstLineChars="200"/>
        <w:jc w:val="left"/>
        <w:rPr>
          <w:rFonts w:ascii="楷体" w:hAnsi="楷体" w:eastAsia="楷体"/>
          <w:sz w:val="24"/>
        </w:rPr>
      </w:pPr>
      <w:r>
        <w:rPr>
          <w:rFonts w:ascii="楷体" w:hAnsi="楷体" w:eastAsia="楷体"/>
          <w:sz w:val="24"/>
        </w:rPr>
        <w:pict>
          <v:group id="_x0000_s1036" o:spid="_x0000_s1036" o:spt="203" style="position:absolute;left:0pt;margin-left:50.7pt;margin-top:119.8pt;height:39.75pt;width:329.4pt;z-index:251715584;mso-width-relative:page;mso-height-relative:page;" coordorigin="2814,9753" coordsize="6588,795">
            <o:lock v:ext="edit"/>
            <v:shape id="Text Box 3" o:spid="_x0000_s1033" o:spt="202" type="#_x0000_t202" style="position:absolute;left:6930;top:9753;height:725;width:2472;"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">
              <v:path/>
              <v:fill opacity="0f" focussize="0,0"/>
              <v:stroke color="#FFFFFF [3212]" joinstyle="miter"/>
              <v:imagedata o:title=""/>
              <o:lock v:ext="edit"/>
              <v:textbox>
                <w:txbxContent>
                  <w:p>
                    <w:r>
                      <w:rPr>
                        <w:rFonts w:hint="eastAsia"/>
                        <w:sz w:val="15"/>
                        <w:szCs w:val="15"/>
                      </w:rPr>
                      <w:t>图3：上海市副市长翁铁慧以及上海市教育委员会主任陆靖参观工程中心</w:t>
                    </w:r>
                  </w:p>
                </w:txbxContent>
              </v:textbox>
            </v:shape>
            <v:shape id="_x0000_s1034" o:spid="_x0000_s1034" o:spt="202" type="#_x0000_t202" style="position:absolute;left:5420;top:9761;height:783;width:1414;"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">
              <v:path/>
              <v:fill focussize="0,0"/>
              <v:stroke color="#FFFFFF [3212]" joinstyle="miter"/>
              <v:imagedata o:title=""/>
              <o:lock v:ext="edit"/>
              <v:textbox style="mso-fit-shape-to-text:t;">
                <w:txbxContent>
                  <w:p>
                    <w:pPr>
                      <w:rPr>
                        <w:sz w:val="15"/>
                        <w:szCs w:val="15"/>
                      </w:rPr>
                    </w:pPr>
                    <w:r>
                      <w:rPr>
                        <w:rFonts w:hint="eastAsia"/>
                        <w:sz w:val="15"/>
                        <w:szCs w:val="15"/>
                      </w:rPr>
                      <w:t>图2：上海市科技进步三等奖</w:t>
                    </w:r>
                  </w:p>
                </w:txbxContent>
              </v:textbox>
            </v:shape>
            <v:shape id="_x0000_s1035" o:spid="_x0000_s1035" o:spt="202" type="#_x0000_t202" style="position:absolute;left:2814;top:9765;height:783;width:2147;"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">
              <v:path/>
              <v:fill opacity="0f" focussize="0,0"/>
              <v:stroke color="#FFFFFF [3212]" joinstyle="miter"/>
              <v:imagedata o:title=""/>
              <o:lock v:ext="edit"/>
              <v:textbox style="mso-fit-shape-to-text:t;">
                <w:txbxContent>
                  <w:p>
                    <w:pPr>
                      <w:rPr>
                        <w:sz w:val="15"/>
                        <w:szCs w:val="15"/>
                      </w:rPr>
                    </w:pPr>
                    <w:r>
                      <w:rPr>
                        <w:rFonts w:hint="eastAsia"/>
                        <w:sz w:val="15"/>
                        <w:szCs w:val="15"/>
                      </w:rPr>
                      <w:t>图1：中国工程院院士徐滨士教授参观工程中心</w:t>
                    </w:r>
                  </w:p>
                </w:txbxContent>
              </v:textbox>
            </v:shape>
          </v:group>
        </w:pict>
      </w:r>
    </w:p>
    <w:p>
      <w:pPr>
        <w:snapToGrid w:val="0"/>
        <w:spacing w:line="300" w:lineRule="auto"/>
        <w:ind w:firstLine="480" w:firstLineChars="200"/>
        <w:rPr>
          <w:rFonts w:hint="eastAsia" w:ascii="楷体" w:hAnsi="楷体" w:eastAsia="楷体"/>
          <w:sz w:val="24"/>
        </w:rPr>
      </w:pPr>
      <w:r>
        <w:rPr>
          <w:rFonts w:ascii="楷体" w:hAnsi="楷体" w:eastAsia="楷体"/>
          <w:sz w:val="24"/>
        </w:rPr>
        <w:pict>
          <v:shape id="Text Box 5" o:spid="_x0000_s1029" o:spt="202" type="#_x0000_t202" style="position:absolute;left:0pt;margin-left:201.7pt;margin-top:406.9pt;height:39.15pt;width:107.35pt;z-index:251662336;mso-width-relative:margin;mso-height-relative:margin;mso-height-percent:200;"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">
            <v:path/>
            <v:fill opacity="0f" focussize="0,0"/>
            <v:stroke color="#FFFFFF [3212]" joinstyle="miter"/>
            <v:imagedata o:title=""/>
            <o:lock v:ext="edit"/>
            <v:textbox style="mso-fit-shape-to-text:t;">
              <w:txbxContent>
                <w:p>
                  <w:pPr>
                    <w:rPr>
                      <w:sz w:val="15"/>
                      <w:szCs w:val="15"/>
                    </w:rPr>
                  </w:pPr>
                  <w:r>
                    <w:rPr>
                      <w:rFonts w:hint="eastAsia"/>
                      <w:sz w:val="15"/>
                      <w:szCs w:val="15"/>
                    </w:rPr>
                    <w:t>图1：中国工程院院士徐滨士教授参观工程中心</w:t>
                  </w:r>
                </w:p>
              </w:txbxContent>
            </v:textbox>
          </v:shape>
        </w:pict>
      </w:r>
      <w:r>
        <w:pict>
          <v:shape id="Text Box 217" o:spid="_x0000_s1030" o:spt="202" type="#_x0000_t202" style="position:absolute;left:0pt;margin-top:1.4pt;height:156.6pt;width:209pt;mso-position-horizontal:right;mso-wrap-distance-left:9pt;mso-wrap-distance-right:9pt;z-index:-251607040;mso-width-relative:margin;mso-height-relative:margin;" stroked="t" coordsize="21600,21600" wrapcoords="-77 -103 -77 21497 21677 21497 21677 -103 -77 -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">
            <v:path/>
            <v:fill opacity="0f" focussize="0,0"/>
            <v:stroke color="#FFFFFF [3212]" joinstyle="miter"/>
            <v:imagedata o:title=""/>
            <o:lock v:ext="edit"/>
            <v:textbox>
              <w:txbxContent>
                <w:p>
                  <w:r>
                    <w:rPr>
                      <w:rFonts w:ascii="楷体" w:hAnsi="楷体" w:eastAsia="楷体"/>
                      <w:sz w:val="24"/>
                    </w:rPr>
                    <w:drawing>
                      <wp:inline distT="0" distB="0" distL="0" distR="0">
                        <wp:extent cx="2458085" cy="1791335"/>
                        <wp:effectExtent l="0" t="0" r="0" b="0"/>
                        <wp:docPr id="2" name="图片 177" descr="C:\Users\机械\AppData\Local\Temp\15217909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7" descr="C:\Users\机械\AppData\Local\Temp\1521790999(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463522" cy="1795448"/>
                                </a:xfrm>
                                <a:prstGeom prst="rect">
                                  <a:avLst/>
                                </a:prstGeom>
                                <a:blipFill>
                                  <a:blip r:embed="rId8"/>
                                  <a:tile tx="0" ty="0" sx="100000" sy="100000" flip="none" algn="tl"/>
                                </a:blipFill>
                                <a:ln>
                                  <a:noFill/>
                                </a:ln>
                              </pic:spPr>
                            </pic:pic>
                          </a:graphicData>
                        </a:graphic>
                      </wp:inline>
                    </w:drawing>
                  </w:r>
                </w:p>
              </w:txbxContent>
            </v:textbox>
            <w10:wrap type="tight"/>
          </v:shape>
        </w:pict>
      </w:r>
      <w:r>
        <w:rPr>
          <w:rFonts w:hint="eastAsia" w:ascii="楷体" w:hAnsi="楷体" w:eastAsia="楷体"/>
          <w:sz w:val="24"/>
        </w:rPr>
        <w:t>本中心近3年发表相关论文</w:t>
      </w:r>
      <w:r>
        <w:rPr>
          <w:rFonts w:ascii="楷体" w:hAnsi="楷体" w:eastAsia="楷体"/>
          <w:sz w:val="24"/>
        </w:rPr>
        <w:t>10</w:t>
      </w:r>
      <w:r>
        <w:rPr>
          <w:rFonts w:hint="eastAsia" w:ascii="楷体" w:hAnsi="楷体" w:eastAsia="楷体"/>
          <w:sz w:val="24"/>
        </w:rPr>
        <w:t>0余篇，授权发明专利</w:t>
      </w:r>
      <w:r>
        <w:rPr>
          <w:rFonts w:ascii="楷体" w:hAnsi="楷体" w:eastAsia="楷体"/>
          <w:sz w:val="24"/>
        </w:rPr>
        <w:t>3</w:t>
      </w:r>
      <w:r>
        <w:rPr>
          <w:rFonts w:hint="eastAsia" w:ascii="楷体" w:hAnsi="楷体" w:eastAsia="楷体"/>
          <w:sz w:val="24"/>
        </w:rPr>
        <w:t>0项；该技术在2016年获得上海市科技进步三等奖。目前服务企业客户已</w:t>
      </w:r>
      <w:r>
        <w:rPr>
          <w:rFonts w:ascii="楷体" w:hAnsi="楷体" w:eastAsia="楷体"/>
          <w:sz w:val="24"/>
        </w:rPr>
        <w:t>超过</w:t>
      </w:r>
      <w:r>
        <w:rPr>
          <w:rFonts w:hint="eastAsia" w:ascii="楷体" w:hAnsi="楷体" w:eastAsia="楷体"/>
          <w:sz w:val="24"/>
        </w:rPr>
        <w:t>2</w:t>
      </w:r>
      <w:r>
        <w:rPr>
          <w:rFonts w:ascii="楷体" w:hAnsi="楷体" w:eastAsia="楷体"/>
          <w:sz w:val="24"/>
        </w:rPr>
        <w:t>00家，包括霍尼韦尔（航空切削刀具）、</w:t>
      </w:r>
      <w:r>
        <w:rPr>
          <w:rFonts w:hint="eastAsia" w:ascii="楷体" w:hAnsi="楷体" w:eastAsia="楷体"/>
          <w:sz w:val="24"/>
        </w:rPr>
        <w:t>紫江集团</w:t>
      </w:r>
      <w:r>
        <w:rPr>
          <w:rFonts w:ascii="楷体" w:hAnsi="楷体" w:eastAsia="楷体"/>
          <w:sz w:val="24"/>
        </w:rPr>
        <w:t>（制瓶模具）、宝钢集团（耐磨筛网）、沈飞（高温合金加工）、上海汽轮机厂（叶片加工）、</w:t>
      </w:r>
      <w:r>
        <w:rPr>
          <w:rFonts w:hint="eastAsia" w:ascii="楷体" w:hAnsi="楷体" w:eastAsia="楷体"/>
          <w:sz w:val="24"/>
        </w:rPr>
        <w:t>成飞</w:t>
      </w:r>
      <w:r>
        <w:rPr>
          <w:rFonts w:ascii="楷体" w:hAnsi="楷体" w:eastAsia="楷体"/>
          <w:sz w:val="24"/>
        </w:rPr>
        <w:t>（钛合金加工）等，年产生经济效益超过</w:t>
      </w:r>
      <w:r>
        <w:rPr>
          <w:rFonts w:hint="eastAsia" w:ascii="楷体" w:hAnsi="楷体" w:eastAsia="楷体"/>
          <w:sz w:val="24"/>
        </w:rPr>
        <w:t>4</w:t>
      </w:r>
      <w:r>
        <w:rPr>
          <w:rFonts w:ascii="楷体" w:hAnsi="楷体" w:eastAsia="楷体"/>
          <w:sz w:val="24"/>
        </w:rPr>
        <w:t>0亿</w:t>
      </w:r>
      <w:r>
        <w:rPr>
          <w:rFonts w:hint="eastAsia" w:ascii="楷体" w:hAnsi="楷体" w:eastAsia="楷体"/>
          <w:sz w:val="24"/>
        </w:rPr>
        <w:t>元。本中心在技术研发方面不断推陈出新，特别是在不锈钢、钛合金、高温合金、淬硬钢及航空航天难加工材料方面研发的硬质涂层目前在国内外处于领先水平。</w:t>
      </w:r>
    </w:p>
    <w:p>
      <w:pPr>
        <w:pStyle w:val="11"/>
        <w:numPr>
          <w:ilvl w:val="0"/>
          <w:numId w:val="0"/>
        </w:numPr>
        <w:snapToGrid w:val="0"/>
        <w:spacing w:line="300" w:lineRule="auto"/>
        <w:ind w:leftChars="0"/>
        <w:rPr>
          <w:rFonts w:hint="eastAsia" w:ascii="楷体" w:hAnsi="楷体" w:eastAsia="楷体" w:cs="楷体"/>
          <w:b/>
          <w:sz w:val="28"/>
          <w:szCs w:val="28"/>
          <w:lang w:eastAsia="zh-CN"/>
        </w:rPr>
      </w:pPr>
      <w:r>
        <w:rPr>
          <w:rFonts w:hint="eastAsia" w:ascii="楷体" w:hAnsi="楷体" w:eastAsia="楷体" w:cs="楷体"/>
          <w:b/>
          <w:sz w:val="28"/>
          <w:szCs w:val="28"/>
          <w:lang w:eastAsia="zh-CN"/>
        </w:rPr>
        <w:t>二、工程中心组织机构架构</w:t>
      </w:r>
    </w:p>
    <w:p>
      <w:pPr>
        <w:snapToGrid w:val="0"/>
        <w:spacing w:line="300" w:lineRule="auto"/>
        <w:ind w:firstLine="422" w:firstLineChars="200"/>
        <w:rPr>
          <w:rFonts w:asciiTheme="minorEastAsia" w:hAnsiTheme="minorEastAsia"/>
          <w:b/>
        </w:rPr>
      </w:pPr>
      <w:r>
        <w:rPr>
          <w:rFonts w:asciiTheme="minorEastAsia" w:hAnsiTheme="minorEastAsia"/>
          <w:b/>
        </w:rPr>
        <w:drawing>
          <wp:inline distT="0" distB="0" distL="0" distR="0">
            <wp:extent cx="4919980" cy="2406015"/>
            <wp:effectExtent l="0" t="0" r="13970"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4931255" cy="2411561"/>
                    </a:xfrm>
                    <a:prstGeom prst="rect">
                      <a:avLst/>
                    </a:prstGeom>
                  </pic:spPr>
                </pic:pic>
              </a:graphicData>
            </a:graphic>
          </wp:inline>
        </w:drawing>
      </w:r>
    </w:p>
    <w:p>
      <w:pPr>
        <w:snapToGrid w:val="0"/>
        <w:spacing w:line="300" w:lineRule="auto"/>
        <w:rPr>
          <w:rFonts w:hint="eastAsia" w:ascii="楷体" w:hAnsi="楷体" w:eastAsia="楷体" w:cs="楷体"/>
          <w:b/>
          <w:sz w:val="24"/>
          <w:szCs w:val="24"/>
        </w:rPr>
      </w:pPr>
      <w:r>
        <w:rPr>
          <w:rFonts w:hint="eastAsia" w:ascii="楷体" w:hAnsi="楷体" w:eastAsia="楷体" w:cs="楷体"/>
          <w:b/>
          <w:sz w:val="24"/>
          <w:szCs w:val="24"/>
        </w:rPr>
        <w:t>1.管理委员会</w:t>
      </w:r>
    </w:p>
    <w:p>
      <w:pPr>
        <w:snapToGrid w:val="0"/>
        <w:spacing w:line="300" w:lineRule="auto"/>
        <w:ind w:firstLine="480" w:firstLineChars="200"/>
        <w:rPr>
          <w:rFonts w:asciiTheme="minorEastAsia" w:hAnsiTheme="minorEastAsia"/>
        </w:rPr>
      </w:pPr>
      <w:r>
        <w:rPr>
          <w:rFonts w:ascii="楷体" w:hAnsi="楷体" w:eastAsia="楷体"/>
          <w:sz w:val="24"/>
        </w:rPr>
        <w:t>管理委员会成员由学校、企业两方负责人共同组成，负责审议工程中心的发展规划，监督和审查财务预决算及其收益方案，协调各建设成员单位及相关合作单位之间的关系。</w:t>
      </w:r>
    </w:p>
    <w:p>
      <w:pPr>
        <w:snapToGrid w:val="0"/>
        <w:spacing w:line="300" w:lineRule="auto"/>
        <w:rPr>
          <w:rFonts w:hint="eastAsia" w:ascii="楷体" w:hAnsi="楷体" w:eastAsia="楷体" w:cs="楷体"/>
          <w:b/>
          <w:sz w:val="24"/>
          <w:szCs w:val="24"/>
        </w:rPr>
      </w:pPr>
      <w:r>
        <w:rPr>
          <w:rFonts w:hint="eastAsia" w:ascii="楷体" w:hAnsi="楷体" w:eastAsia="楷体" w:cs="楷体"/>
          <w:b/>
          <w:sz w:val="24"/>
          <w:szCs w:val="24"/>
        </w:rPr>
        <w:t>2.技术委员会</w:t>
      </w:r>
    </w:p>
    <w:p>
      <w:pPr>
        <w:snapToGrid w:val="0"/>
        <w:spacing w:line="300" w:lineRule="auto"/>
        <w:ind w:firstLine="480" w:firstLineChars="200"/>
        <w:rPr>
          <w:rFonts w:hint="eastAsia" w:ascii="楷体" w:hAnsi="楷体" w:eastAsia="楷体"/>
          <w:sz w:val="24"/>
          <w:lang w:eastAsia="zh-CN"/>
        </w:rPr>
      </w:pPr>
      <w:r>
        <w:rPr>
          <w:rFonts w:ascii="楷体" w:hAnsi="楷体" w:eastAsia="楷体"/>
          <w:sz w:val="24"/>
        </w:rPr>
        <w:t>由国内同行业科技界、企业界权威知名人士，以及依托单位主要工程技术骨干组成。其主要职责是：制定工程中心的发展规划，审议工程技术研究开发工作计划、评价工程设计试验方案，提供技术经济咨询及市场信息等</w:t>
      </w:r>
      <w:r>
        <w:rPr>
          <w:rFonts w:hint="eastAsia" w:ascii="楷体" w:hAnsi="楷体" w:eastAsia="楷体"/>
          <w:sz w:val="24"/>
          <w:lang w:eastAsia="zh-CN"/>
        </w:rPr>
        <w:t>。</w:t>
      </w:r>
    </w:p>
    <w:p>
      <w:pPr>
        <w:pStyle w:val="11"/>
        <w:numPr>
          <w:ilvl w:val="0"/>
          <w:numId w:val="1"/>
        </w:numPr>
        <w:snapToGrid w:val="0"/>
        <w:spacing w:line="300" w:lineRule="auto"/>
        <w:ind w:firstLineChars="0"/>
        <w:rPr>
          <w:rFonts w:hint="eastAsia" w:ascii="楷体" w:hAnsi="楷体" w:eastAsia="楷体" w:cs="楷体"/>
          <w:b/>
          <w:sz w:val="24"/>
          <w:szCs w:val="24"/>
        </w:rPr>
      </w:pPr>
      <w:r>
        <w:rPr>
          <w:rFonts w:hint="eastAsia" w:ascii="楷体" w:hAnsi="楷体" w:eastAsia="楷体" w:cs="楷体"/>
          <w:b/>
          <w:sz w:val="24"/>
          <w:szCs w:val="24"/>
        </w:rPr>
        <w:t>技术研发部</w:t>
      </w:r>
    </w:p>
    <w:p>
      <w:pPr>
        <w:pStyle w:val="11"/>
        <w:numPr>
          <w:ilvl w:val="0"/>
          <w:numId w:val="2"/>
        </w:numPr>
        <w:snapToGrid w:val="0"/>
        <w:spacing w:line="300" w:lineRule="auto"/>
        <w:ind w:left="709" w:hanging="425" w:firstLineChars="0"/>
        <w:rPr>
          <w:rFonts w:hint="eastAsia" w:ascii="楷体" w:hAnsi="楷体" w:eastAsia="楷体" w:cs="楷体"/>
          <w:b/>
          <w:sz w:val="24"/>
          <w:szCs w:val="24"/>
        </w:rPr>
      </w:pPr>
      <w:r>
        <w:rPr>
          <w:rFonts w:hint="eastAsia" w:ascii="楷体" w:hAnsi="楷体" w:eastAsia="楷体" w:cs="楷体"/>
          <w:b/>
          <w:sz w:val="24"/>
          <w:szCs w:val="24"/>
        </w:rPr>
        <w:t>物理气相沉积涂层技术的关键工艺开发研究室</w:t>
      </w:r>
    </w:p>
    <w:p>
      <w:pPr>
        <w:snapToGrid w:val="0"/>
        <w:spacing w:line="300" w:lineRule="auto"/>
        <w:ind w:firstLine="480" w:firstLineChars="200"/>
        <w:rPr>
          <w:rFonts w:ascii="楷体" w:hAnsi="楷体" w:eastAsia="楷体"/>
          <w:sz w:val="24"/>
        </w:rPr>
      </w:pPr>
      <w:r>
        <w:rPr>
          <w:rFonts w:ascii="楷体" w:hAnsi="楷体" w:eastAsia="楷体"/>
          <w:sz w:val="24"/>
        </w:rPr>
        <w:t>包括智能制造涂层技术应用研究、航空航天涂层技术应用研究、医疗器械物理气相沉积涂层技术应用研究和绿色制造涂层技术应用研究四个研究方向。</w:t>
      </w:r>
    </w:p>
    <w:p>
      <w:pPr>
        <w:pStyle w:val="11"/>
        <w:numPr>
          <w:ilvl w:val="0"/>
          <w:numId w:val="2"/>
        </w:numPr>
        <w:snapToGrid w:val="0"/>
        <w:spacing w:line="300" w:lineRule="auto"/>
        <w:ind w:left="709" w:hanging="425" w:firstLineChars="0"/>
        <w:rPr>
          <w:rFonts w:hint="eastAsia" w:ascii="楷体" w:hAnsi="楷体" w:eastAsia="楷体" w:cs="楷体"/>
          <w:b/>
          <w:sz w:val="24"/>
          <w:szCs w:val="24"/>
        </w:rPr>
      </w:pPr>
      <w:r>
        <w:rPr>
          <w:rFonts w:hint="eastAsia" w:ascii="楷体" w:hAnsi="楷体" w:eastAsia="楷体" w:cs="楷体"/>
          <w:b/>
          <w:sz w:val="24"/>
          <w:szCs w:val="24"/>
        </w:rPr>
        <w:t>表面技术相关装备国产化研究研究室</w:t>
      </w:r>
    </w:p>
    <w:p>
      <w:pPr>
        <w:snapToGrid w:val="0"/>
        <w:spacing w:line="300" w:lineRule="auto"/>
        <w:ind w:firstLine="480" w:firstLineChars="200"/>
        <w:rPr>
          <w:rFonts w:ascii="楷体" w:hAnsi="楷体" w:eastAsia="楷体"/>
          <w:sz w:val="24"/>
        </w:rPr>
      </w:pPr>
      <w:r>
        <w:rPr>
          <w:rFonts w:ascii="楷体" w:hAnsi="楷体" w:eastAsia="楷体"/>
          <w:sz w:val="24"/>
        </w:rPr>
        <w:t>开展物理气相沉积设备的国产化研究，完成涂层生产设备的设计和制造，为企业大量使用该技术解决装备国产化方面的问题。</w:t>
      </w:r>
    </w:p>
    <w:p>
      <w:pPr>
        <w:pStyle w:val="11"/>
        <w:numPr>
          <w:ilvl w:val="0"/>
          <w:numId w:val="2"/>
        </w:numPr>
        <w:snapToGrid w:val="0"/>
        <w:spacing w:line="300" w:lineRule="auto"/>
        <w:ind w:left="709" w:hanging="425" w:firstLineChars="0"/>
        <w:rPr>
          <w:rFonts w:hint="eastAsia" w:ascii="楷体" w:hAnsi="楷体" w:eastAsia="楷体" w:cs="楷体"/>
          <w:b/>
          <w:sz w:val="24"/>
          <w:szCs w:val="24"/>
        </w:rPr>
      </w:pPr>
      <w:r>
        <w:rPr>
          <w:rFonts w:hint="eastAsia" w:ascii="楷体" w:hAnsi="楷体" w:eastAsia="楷体" w:cs="楷体"/>
          <w:b/>
          <w:sz w:val="24"/>
          <w:szCs w:val="24"/>
        </w:rPr>
        <w:t xml:space="preserve">表面检测技术方面的应用研究研究室 </w:t>
      </w:r>
    </w:p>
    <w:p>
      <w:pPr>
        <w:snapToGrid w:val="0"/>
        <w:spacing w:line="300" w:lineRule="auto"/>
        <w:ind w:firstLine="480" w:firstLineChars="200"/>
        <w:rPr>
          <w:rFonts w:ascii="楷体" w:hAnsi="楷体" w:eastAsia="楷体"/>
          <w:sz w:val="24"/>
        </w:rPr>
      </w:pPr>
      <w:r>
        <w:rPr>
          <w:rFonts w:ascii="楷体" w:hAnsi="楷体" w:eastAsia="楷体"/>
          <w:sz w:val="24"/>
        </w:rPr>
        <w:t>包括对各种表面形貌、表面层显微组织、表面层的晶体结构、表面层的化学成分与成分分布、表面原子态与表面电子态；涂层与基体表面结合力；涂层硬度；涂层层数和涂层摩擦系数等的分析。</w:t>
      </w:r>
    </w:p>
    <w:p>
      <w:pPr>
        <w:pStyle w:val="11"/>
        <w:numPr>
          <w:ilvl w:val="0"/>
          <w:numId w:val="1"/>
        </w:numPr>
        <w:snapToGrid w:val="0"/>
        <w:spacing w:line="300" w:lineRule="auto"/>
        <w:ind w:firstLineChars="0"/>
        <w:rPr>
          <w:rFonts w:hint="eastAsia" w:ascii="楷体" w:hAnsi="楷体" w:eastAsia="楷体" w:cs="楷体"/>
          <w:b/>
          <w:sz w:val="24"/>
          <w:szCs w:val="24"/>
        </w:rPr>
      </w:pPr>
      <w:r>
        <w:rPr>
          <w:rFonts w:hint="eastAsia" w:ascii="楷体" w:hAnsi="楷体" w:eastAsia="楷体" w:cs="楷体"/>
          <w:b/>
          <w:sz w:val="24"/>
          <w:szCs w:val="24"/>
        </w:rPr>
        <w:t>工程部</w:t>
      </w:r>
    </w:p>
    <w:p>
      <w:pPr>
        <w:snapToGrid w:val="0"/>
        <w:spacing w:line="300" w:lineRule="auto"/>
        <w:ind w:firstLine="420"/>
        <w:rPr>
          <w:rFonts w:asciiTheme="minorEastAsia" w:hAnsiTheme="minorEastAsia"/>
        </w:rPr>
      </w:pPr>
      <w:r>
        <w:rPr>
          <w:rFonts w:ascii="楷体" w:hAnsi="楷体" w:eastAsia="楷体"/>
          <w:sz w:val="24"/>
        </w:rPr>
        <w:t>负责与PVD相关设备、涂层工艺的实施、装备的设计、安装、调试，分设计室、施工室和采购室</w:t>
      </w:r>
      <w:r>
        <w:rPr>
          <w:rFonts w:hint="eastAsia" w:ascii="楷体" w:hAnsi="楷体" w:eastAsia="楷体"/>
          <w:sz w:val="24"/>
        </w:rPr>
        <w:t>。</w:t>
      </w:r>
    </w:p>
    <w:p>
      <w:pPr>
        <w:pStyle w:val="11"/>
        <w:numPr>
          <w:ilvl w:val="0"/>
          <w:numId w:val="1"/>
        </w:numPr>
        <w:snapToGrid w:val="0"/>
        <w:spacing w:line="300" w:lineRule="auto"/>
        <w:ind w:firstLineChars="0"/>
        <w:rPr>
          <w:rFonts w:hint="eastAsia" w:ascii="楷体" w:hAnsi="楷体" w:eastAsia="楷体" w:cs="楷体"/>
          <w:b/>
          <w:sz w:val="24"/>
          <w:szCs w:val="24"/>
        </w:rPr>
      </w:pPr>
      <w:r>
        <w:rPr>
          <w:rFonts w:hint="eastAsia" w:ascii="楷体" w:hAnsi="楷体" w:eastAsia="楷体" w:cs="楷体"/>
          <w:b/>
          <w:sz w:val="24"/>
          <w:szCs w:val="24"/>
        </w:rPr>
        <w:t>学术交流培训部</w:t>
      </w:r>
    </w:p>
    <w:p>
      <w:pPr>
        <w:snapToGrid w:val="0"/>
        <w:spacing w:line="300" w:lineRule="auto"/>
        <w:ind w:firstLine="420"/>
        <w:rPr>
          <w:rFonts w:ascii="楷体" w:hAnsi="楷体" w:eastAsia="楷体"/>
          <w:sz w:val="24"/>
        </w:rPr>
      </w:pPr>
      <w:r>
        <w:rPr>
          <w:rFonts w:hint="eastAsia" w:ascii="楷体" w:hAnsi="楷体" w:eastAsia="楷体"/>
          <w:sz w:val="24"/>
        </w:rPr>
        <w:t>负责</w:t>
      </w:r>
      <w:r>
        <w:rPr>
          <w:rFonts w:ascii="楷体" w:hAnsi="楷体" w:eastAsia="楷体"/>
          <w:sz w:val="24"/>
        </w:rPr>
        <w:t>开展多种形式的国际、国内合作与交流，与高校、科研院所和企业等单位开展技术交流与研讨；对企业行业人员进行专业技能培训。采取开放式运行模式，吸收国内外大专院校及科研单位优秀人才，携带科技成果到中心开展工作，进行成果转化。</w:t>
      </w:r>
    </w:p>
    <w:p>
      <w:pPr>
        <w:pStyle w:val="11"/>
        <w:numPr>
          <w:ilvl w:val="0"/>
          <w:numId w:val="1"/>
        </w:numPr>
        <w:snapToGrid w:val="0"/>
        <w:spacing w:line="300" w:lineRule="auto"/>
        <w:ind w:firstLineChars="0"/>
        <w:rPr>
          <w:rFonts w:hint="eastAsia" w:ascii="楷体" w:hAnsi="楷体" w:eastAsia="楷体" w:cs="楷体"/>
          <w:b/>
          <w:sz w:val="24"/>
          <w:szCs w:val="24"/>
        </w:rPr>
      </w:pPr>
      <w:r>
        <w:rPr>
          <w:rFonts w:hint="eastAsia" w:ascii="楷体" w:hAnsi="楷体" w:eastAsia="楷体" w:cs="楷体"/>
          <w:b/>
          <w:sz w:val="24"/>
          <w:szCs w:val="24"/>
        </w:rPr>
        <w:t>对外技术服务部</w:t>
      </w:r>
    </w:p>
    <w:p>
      <w:pPr>
        <w:snapToGrid w:val="0"/>
        <w:spacing w:line="300" w:lineRule="auto"/>
        <w:ind w:firstLine="420"/>
        <w:rPr>
          <w:rFonts w:hint="eastAsia" w:ascii="楷体" w:hAnsi="楷体" w:eastAsia="楷体"/>
          <w:sz w:val="24"/>
        </w:rPr>
      </w:pPr>
      <w:r>
        <w:rPr>
          <w:rFonts w:hint="eastAsia" w:ascii="楷体" w:hAnsi="楷体" w:eastAsia="楷体"/>
          <w:sz w:val="24"/>
        </w:rPr>
        <w:t>向社会开放有关仪器、设备及成套试验装备，受理网站上企业的需求，负责与技术研发部和企业的协调，网站维护。</w:t>
      </w:r>
    </w:p>
    <w:p>
      <w:pPr>
        <w:snapToGrid w:val="0"/>
        <w:spacing w:line="300" w:lineRule="auto"/>
        <w:rPr>
          <w:rFonts w:hint="eastAsia" w:ascii="楷体" w:hAnsi="楷体" w:eastAsia="楷体" w:cs="楷体"/>
          <w:b/>
          <w:sz w:val="24"/>
          <w:szCs w:val="24"/>
        </w:rPr>
      </w:pPr>
      <w:r>
        <w:rPr>
          <w:rFonts w:hint="eastAsia" w:ascii="楷体" w:hAnsi="楷体" w:eastAsia="楷体" w:cs="楷体"/>
          <w:b/>
          <w:sz w:val="24"/>
          <w:szCs w:val="24"/>
          <w:lang w:eastAsia="zh-CN"/>
        </w:rPr>
        <w:t>三、</w:t>
      </w:r>
      <w:r>
        <w:rPr>
          <w:rFonts w:hint="eastAsia" w:ascii="楷体" w:hAnsi="楷体" w:eastAsia="楷体" w:cs="楷体"/>
          <w:b/>
          <w:sz w:val="24"/>
          <w:szCs w:val="24"/>
        </w:rPr>
        <w:t>工程中心建设要达到的目标</w:t>
      </w:r>
    </w:p>
    <w:p>
      <w:pPr>
        <w:snapToGrid w:val="0"/>
        <w:spacing w:line="300" w:lineRule="auto"/>
        <w:rPr>
          <w:rFonts w:hint="eastAsia" w:ascii="楷体" w:hAnsi="楷体" w:eastAsia="楷体"/>
          <w:b/>
          <w:bCs/>
          <w:sz w:val="24"/>
        </w:rPr>
      </w:pPr>
      <w:r>
        <w:rPr>
          <w:rFonts w:hint="eastAsia" w:ascii="楷体" w:hAnsi="楷体" w:eastAsia="楷体"/>
          <w:b/>
          <w:bCs/>
          <w:sz w:val="24"/>
        </w:rPr>
        <w:t>（一）工程技术研究开发能力和水平</w:t>
      </w:r>
    </w:p>
    <w:p>
      <w:pPr>
        <w:snapToGrid w:val="0"/>
        <w:spacing w:line="300" w:lineRule="auto"/>
        <w:ind w:firstLine="420"/>
        <w:rPr>
          <w:rFonts w:hint="eastAsia" w:ascii="楷体" w:hAnsi="楷体" w:eastAsia="楷体"/>
          <w:sz w:val="24"/>
        </w:rPr>
      </w:pPr>
      <w:r>
        <w:rPr>
          <w:rFonts w:hint="eastAsia" w:ascii="楷体" w:hAnsi="楷体" w:eastAsia="楷体"/>
          <w:sz w:val="24"/>
        </w:rPr>
        <w:t>将上海物理气相沉积(PVD)超硬涂层及装备工程技术研究中心建设成为相关领域的企业发展战略和发展规划的研发中心，信息化的集成中心，市场调研和开拓中心，产学研联合中心，新产品、新技术、新设备、新工艺、新材料的研发中心，知识产权创建和管理中心。上海物理气相沉积(PVD)超硬涂层及装备工程技术研究中心在发展过程中不仅要开发相关的应用技术，而且将涂层的应用范围扩大至高端装备、能源、半导体加工、高端医疗器械等领域，真正让相关的产学研具有3～5年的技术储备。</w:t>
      </w:r>
    </w:p>
    <w:p>
      <w:pPr>
        <w:snapToGrid w:val="0"/>
        <w:spacing w:line="300" w:lineRule="auto"/>
        <w:ind w:firstLine="420"/>
        <w:rPr>
          <w:rFonts w:hint="eastAsia" w:ascii="楷体" w:hAnsi="楷体" w:eastAsia="楷体"/>
          <w:sz w:val="24"/>
        </w:rPr>
      </w:pPr>
      <w:r>
        <w:rPr>
          <w:rFonts w:hint="eastAsia" w:ascii="楷体" w:hAnsi="楷体" w:eastAsia="楷体"/>
          <w:sz w:val="24"/>
        </w:rPr>
        <w:t>1.涂层性能方面，将涂层工作温度由1200℃提升至1600℃，涂层厚度由200nm降低至100nm，涂层硬度由HV4000提高至HV4500，涂层摩擦系数由0.1降低至0.05；</w:t>
      </w:r>
    </w:p>
    <w:p>
      <w:pPr>
        <w:snapToGrid w:val="0"/>
        <w:spacing w:line="300" w:lineRule="auto"/>
        <w:ind w:firstLine="420"/>
        <w:rPr>
          <w:rFonts w:hint="eastAsia" w:ascii="楷体" w:hAnsi="楷体" w:eastAsia="楷体"/>
          <w:sz w:val="24"/>
        </w:rPr>
      </w:pPr>
      <w:r>
        <w:rPr>
          <w:rFonts w:hint="eastAsia" w:ascii="楷体" w:hAnsi="楷体" w:eastAsia="楷体"/>
          <w:sz w:val="24"/>
        </w:rPr>
        <w:t>2.涂层装备国产化方面，在实验室建立1条实验性的国产涂层中试实验线；</w:t>
      </w:r>
    </w:p>
    <w:p>
      <w:pPr>
        <w:snapToGrid w:val="0"/>
        <w:spacing w:line="300" w:lineRule="auto"/>
        <w:ind w:firstLine="420"/>
        <w:rPr>
          <w:rFonts w:hint="eastAsia" w:ascii="楷体" w:hAnsi="楷体" w:eastAsia="楷体"/>
          <w:sz w:val="24"/>
        </w:rPr>
      </w:pPr>
      <w:r>
        <w:rPr>
          <w:rFonts w:hint="eastAsia" w:ascii="楷体" w:hAnsi="楷体" w:eastAsia="楷体"/>
          <w:sz w:val="24"/>
        </w:rPr>
        <w:t>3.行业标准申请涂层表面性能、涂层结合力、涂层摩擦系数、涂层硬度和涂层层数等涂层性能方面的行业标准1项。</w:t>
      </w:r>
    </w:p>
    <w:p>
      <w:pPr>
        <w:snapToGrid w:val="0"/>
        <w:spacing w:line="300" w:lineRule="auto"/>
        <w:ind w:firstLine="420"/>
        <w:rPr>
          <w:rFonts w:hint="eastAsia" w:ascii="楷体" w:hAnsi="楷体" w:eastAsia="楷体"/>
          <w:sz w:val="24"/>
        </w:rPr>
      </w:pPr>
      <w:r>
        <w:rPr>
          <w:rFonts w:hint="eastAsia" w:ascii="楷体" w:hAnsi="楷体" w:eastAsia="楷体"/>
          <w:sz w:val="24"/>
        </w:rPr>
        <w:t>通过以上工作，力争申报国家自然基金项目1项，校企联合申报上海市科委项目1项，申请专利20项，提升团队的研发能力和水平，在全国处于领先地位。</w:t>
      </w:r>
    </w:p>
    <w:p>
      <w:pPr>
        <w:snapToGrid w:val="0"/>
        <w:spacing w:line="300" w:lineRule="auto"/>
        <w:rPr>
          <w:rFonts w:hint="eastAsia" w:ascii="楷体" w:hAnsi="楷体" w:eastAsia="楷体"/>
          <w:b/>
          <w:bCs/>
          <w:sz w:val="24"/>
        </w:rPr>
      </w:pPr>
      <w:r>
        <w:rPr>
          <w:rFonts w:hint="eastAsia" w:ascii="楷体" w:hAnsi="楷体" w:eastAsia="楷体"/>
          <w:b/>
          <w:bCs/>
          <w:sz w:val="24"/>
        </w:rPr>
        <w:t>（二）培训人员及开放服务</w:t>
      </w:r>
    </w:p>
    <w:p>
      <w:pPr>
        <w:snapToGrid w:val="0"/>
        <w:spacing w:line="300" w:lineRule="auto"/>
        <w:ind w:firstLine="420"/>
        <w:rPr>
          <w:rFonts w:hint="eastAsia" w:ascii="楷体" w:hAnsi="楷体" w:eastAsia="楷体"/>
          <w:sz w:val="24"/>
        </w:rPr>
      </w:pPr>
      <w:r>
        <w:rPr>
          <w:rFonts w:hint="eastAsia" w:ascii="楷体" w:hAnsi="楷体" w:eastAsia="楷体"/>
          <w:sz w:val="24"/>
        </w:rPr>
        <w:t>上海物理气相沉积(PVD)超硬涂层及装备工程技术研究中心未来是企业技术创新体系的核心、培养创新人才重要基地。本中心将服务企业20家，培训技术人员200人次，并进行校企交流10次，为企业提供开放咨询服务10次，起到支撑企业长期健康发展关键作用。以科技进步为核心，做到引领技术潮流，跨越式发展。本中心对社会科研人员始终持开放态度，并将邀请国内外相关专家到中心授课交流5次，从而提高中心的创新和技术研发能力。</w:t>
      </w:r>
    </w:p>
    <w:p>
      <w:pPr>
        <w:snapToGrid w:val="0"/>
        <w:spacing w:line="300" w:lineRule="auto"/>
        <w:rPr>
          <w:rFonts w:hint="eastAsia" w:ascii="楷体" w:hAnsi="楷体" w:eastAsia="楷体"/>
          <w:b/>
          <w:bCs/>
          <w:sz w:val="24"/>
        </w:rPr>
      </w:pPr>
      <w:r>
        <w:rPr>
          <w:rFonts w:hint="eastAsia" w:ascii="楷体" w:hAnsi="楷体" w:eastAsia="楷体"/>
          <w:b/>
          <w:bCs/>
          <w:sz w:val="24"/>
        </w:rPr>
        <w:t>（三）内部运行管理、经济效益及自我发展能力</w:t>
      </w:r>
    </w:p>
    <w:p>
      <w:pPr>
        <w:snapToGrid w:val="0"/>
        <w:spacing w:line="300" w:lineRule="auto"/>
        <w:ind w:firstLine="420"/>
        <w:rPr>
          <w:rFonts w:hint="eastAsia" w:ascii="楷体" w:hAnsi="楷体" w:eastAsia="楷体"/>
          <w:sz w:val="24"/>
        </w:rPr>
      </w:pPr>
      <w:r>
        <w:rPr>
          <w:rFonts w:hint="eastAsia" w:ascii="楷体" w:hAnsi="楷体" w:eastAsia="楷体"/>
          <w:sz w:val="24"/>
        </w:rPr>
        <w:t>上海物理气相沉积(PVD)超硬涂层及装备工程技术研究中心建设的最终目标是要出人才、出成果，较大的经费投入要有相应的重大贡献和一流的成果。为了达到这一建设的目标就必须在建设管理上采取新的举措，这些措施和机制创新就必须体现在重视人才培养和基础研究，加强技术开发，推动成果转化，规范产业管理上。具体的做法包括：</w:t>
      </w:r>
    </w:p>
    <w:p>
      <w:pPr>
        <w:snapToGrid w:val="0"/>
        <w:spacing w:line="300" w:lineRule="auto"/>
        <w:ind w:firstLine="420"/>
        <w:rPr>
          <w:rFonts w:hint="eastAsia" w:ascii="楷体" w:hAnsi="楷体" w:eastAsia="楷体"/>
          <w:sz w:val="24"/>
        </w:rPr>
      </w:pPr>
      <w:r>
        <w:rPr>
          <w:rFonts w:hint="eastAsia" w:ascii="楷体" w:hAnsi="楷体" w:eastAsia="楷体"/>
          <w:sz w:val="24"/>
        </w:rPr>
        <w:t>1.技术委员会制度</w:t>
      </w:r>
    </w:p>
    <w:p>
      <w:pPr>
        <w:snapToGrid w:val="0"/>
        <w:spacing w:line="300" w:lineRule="auto"/>
        <w:ind w:firstLine="420"/>
        <w:rPr>
          <w:rFonts w:hint="eastAsia" w:ascii="楷体" w:hAnsi="楷体" w:eastAsia="楷体"/>
          <w:sz w:val="24"/>
        </w:rPr>
      </w:pPr>
      <w:r>
        <w:rPr>
          <w:rFonts w:hint="eastAsia" w:ascii="楷体" w:hAnsi="楷体" w:eastAsia="楷体"/>
          <w:sz w:val="24"/>
        </w:rPr>
        <w:t>中心成立副校长为主任的领导小组和技术委员会，对学科建设和定位、装备添置、人才引进、课题申报、参加重大学术活动和战略讨论会等进行具体指导。</w:t>
      </w:r>
    </w:p>
    <w:p>
      <w:pPr>
        <w:snapToGrid w:val="0"/>
        <w:spacing w:line="300" w:lineRule="auto"/>
        <w:ind w:firstLine="420"/>
        <w:rPr>
          <w:rFonts w:hint="eastAsia" w:ascii="楷体" w:hAnsi="楷体" w:eastAsia="楷体"/>
          <w:sz w:val="24"/>
        </w:rPr>
      </w:pPr>
      <w:r>
        <w:rPr>
          <w:rFonts w:hint="eastAsia" w:ascii="楷体" w:hAnsi="楷体" w:eastAsia="楷体"/>
          <w:sz w:val="24"/>
        </w:rPr>
        <w:t>2.开放制度</w:t>
      </w:r>
    </w:p>
    <w:p>
      <w:pPr>
        <w:snapToGrid w:val="0"/>
        <w:spacing w:line="300" w:lineRule="auto"/>
        <w:ind w:firstLine="420"/>
        <w:rPr>
          <w:rFonts w:hint="eastAsia" w:ascii="楷体" w:hAnsi="楷体" w:eastAsia="楷体"/>
          <w:sz w:val="24"/>
        </w:rPr>
      </w:pPr>
      <w:r>
        <w:rPr>
          <w:rFonts w:hint="eastAsia" w:ascii="楷体" w:hAnsi="楷体" w:eastAsia="楷体"/>
          <w:sz w:val="24"/>
        </w:rPr>
        <w:t>中心实行开放制度，与国内外相关的大学、研究机构和知名企业建立学术交流、人才培养、合作开发等战略伙伴关系。定期开展学术交流活动，邀请国内外学者做前瞻性、综述性报告和有关的技术发展报告。</w:t>
      </w:r>
    </w:p>
    <w:p>
      <w:pPr>
        <w:snapToGrid w:val="0"/>
        <w:spacing w:line="300" w:lineRule="auto"/>
        <w:ind w:firstLine="420"/>
        <w:rPr>
          <w:rFonts w:hint="eastAsia" w:ascii="楷体" w:hAnsi="楷体" w:eastAsia="楷体"/>
          <w:sz w:val="24"/>
        </w:rPr>
      </w:pPr>
      <w:r>
        <w:rPr>
          <w:rFonts w:hint="eastAsia" w:ascii="楷体" w:hAnsi="楷体" w:eastAsia="楷体"/>
          <w:sz w:val="24"/>
        </w:rPr>
        <w:t>3.内部运行管理、经济效益及自我发展能力</w:t>
      </w:r>
    </w:p>
    <w:p>
      <w:pPr>
        <w:snapToGrid w:val="0"/>
        <w:spacing w:line="300" w:lineRule="auto"/>
        <w:ind w:firstLine="420"/>
        <w:rPr>
          <w:rFonts w:hint="eastAsia" w:ascii="楷体" w:hAnsi="楷体" w:eastAsia="楷体"/>
          <w:sz w:val="24"/>
        </w:rPr>
      </w:pPr>
      <w:r>
        <w:rPr>
          <w:rFonts w:hint="eastAsia" w:ascii="楷体" w:hAnsi="楷体" w:eastAsia="楷体"/>
          <w:sz w:val="24"/>
        </w:rPr>
        <w:t>中心建设的目标艰巨，在实施过程中必须有严格的规章制度和考核体制作保证。管理的原则是要充分调动每个成员的积极性，明确各成员的工作和职责、权利和义务，做到责任明确，奖罚分明。</w:t>
      </w:r>
    </w:p>
    <w:p>
      <w:pPr>
        <w:snapToGrid w:val="0"/>
        <w:spacing w:line="300" w:lineRule="auto"/>
        <w:ind w:firstLine="420"/>
        <w:rPr>
          <w:rFonts w:hint="eastAsia" w:ascii="楷体" w:hAnsi="楷体" w:eastAsia="楷体"/>
          <w:sz w:val="24"/>
        </w:rPr>
      </w:pPr>
      <w:r>
        <w:rPr>
          <w:rFonts w:hint="eastAsia" w:ascii="楷体" w:hAnsi="楷体" w:eastAsia="楷体"/>
          <w:sz w:val="24"/>
        </w:rPr>
        <w:t>中心以上海应用技术大学为依托单位，负责中心的组织、管理和日常运行。中心将设立技术委员会审核中心的年度计划，中心主任及管理层执行计划，并对上级领导负责；实行主任负责制，实行总体目标的分工合作制和各技术室负责人负责制。在运行项目的综合管理、质量管理、进度管理、费用管理、采购管理、人力资源管理、信息管理以及安全管理等方面，直接借鉴和应用公司的先进管理模式，以严格的程序化运作作为项目管理的重要手段和方法。</w:t>
      </w:r>
    </w:p>
    <w:p>
      <w:pPr>
        <w:snapToGrid w:val="0"/>
        <w:spacing w:line="300" w:lineRule="auto"/>
        <w:ind w:firstLine="420"/>
        <w:rPr>
          <w:rFonts w:hint="eastAsia" w:ascii="楷体" w:hAnsi="楷体" w:eastAsia="楷体"/>
          <w:sz w:val="24"/>
        </w:rPr>
      </w:pPr>
      <w:r>
        <w:rPr>
          <w:rFonts w:hint="eastAsia" w:ascii="楷体" w:hAnsi="楷体" w:eastAsia="楷体"/>
          <w:sz w:val="24"/>
        </w:rPr>
        <w:t>中心将实行开放流动的运行机制，积极做好产学研结合工作，面向智能制造、航空航天、医疗器械、绿色制造等相关企业来承接工程化研究开发任务，实行单独核算并成立管理委员会制定发展计划、管理监督、协调发展。预计中心年科研经费达500-1000万人民币，成果转化3-5项。</w:t>
      </w:r>
    </w:p>
    <w:p>
      <w:pPr>
        <w:snapToGrid w:val="0"/>
        <w:spacing w:line="300" w:lineRule="auto"/>
        <w:ind w:firstLine="420"/>
        <w:rPr>
          <w:rFonts w:hint="eastAsia" w:ascii="楷体" w:hAnsi="楷体" w:eastAsia="楷体"/>
          <w:sz w:val="24"/>
        </w:rPr>
      </w:pPr>
      <w:r>
        <w:rPr>
          <w:rFonts w:hint="eastAsia" w:ascii="楷体" w:hAnsi="楷体" w:eastAsia="楷体"/>
          <w:sz w:val="24"/>
        </w:rPr>
        <w:t>将营造有利于调动广大科研人员的积极性和创造性的优良环境，建设一支素质优良、结构合理、精干高效的人才队伍，不断增强中心队伍的创造力和竞争力。出台人才队伍建设保障制度，完善以主要课题岗位聘任为核心的人才竞争、激励、流动和绩效评估制度，构建科学有效的运行管理体系。</w:t>
      </w:r>
    </w:p>
    <w:p>
      <w:pPr>
        <w:snapToGrid w:val="0"/>
        <w:spacing w:line="300" w:lineRule="auto"/>
        <w:rPr>
          <w:rFonts w:hint="eastAsia" w:ascii="楷体" w:hAnsi="楷体" w:eastAsia="楷体"/>
          <w:b/>
          <w:bCs/>
          <w:sz w:val="24"/>
        </w:rPr>
      </w:pPr>
      <w:bookmarkStart w:id="0" w:name="_GoBack"/>
      <w:bookmarkEnd w:id="0"/>
      <w:r>
        <w:rPr>
          <w:rFonts w:hint="eastAsia" w:ascii="楷体" w:hAnsi="楷体" w:eastAsia="楷体"/>
          <w:b/>
          <w:bCs/>
          <w:sz w:val="24"/>
        </w:rPr>
        <w:t>（四）技术成果对行业技术发展影响</w:t>
      </w:r>
    </w:p>
    <w:p>
      <w:pPr>
        <w:snapToGrid w:val="0"/>
        <w:spacing w:line="300" w:lineRule="auto"/>
        <w:ind w:firstLine="420"/>
        <w:rPr>
          <w:rFonts w:hint="eastAsia" w:ascii="楷体" w:hAnsi="楷体" w:eastAsia="楷体"/>
          <w:sz w:val="24"/>
        </w:rPr>
      </w:pPr>
      <w:r>
        <w:rPr>
          <w:rFonts w:hint="eastAsia" w:ascii="楷体" w:hAnsi="楷体" w:eastAsia="楷体"/>
          <w:sz w:val="24"/>
        </w:rPr>
        <w:t>通过攻关将相关的PVD涂层技术用于工程领域，解决产品制造过程中的一些突出矛盾，推动产品技术的更新换代，淘汰一些过时、污染的表面技术，节约资源，降低能耗，促进可持续发展。</w:t>
      </w:r>
    </w:p>
    <w:p>
      <w:pPr>
        <w:snapToGrid w:val="0"/>
        <w:spacing w:line="300" w:lineRule="auto"/>
        <w:ind w:firstLine="420"/>
        <w:rPr>
          <w:rFonts w:hint="eastAsia" w:ascii="楷体" w:hAnsi="楷体" w:eastAsia="楷体"/>
          <w:sz w:val="24"/>
        </w:rPr>
      </w:pPr>
      <w:r>
        <w:rPr>
          <w:rFonts w:hint="eastAsia" w:ascii="楷体" w:hAnsi="楷体" w:eastAsia="楷体"/>
          <w:sz w:val="24"/>
        </w:rPr>
        <w:t>工程技术研究中心的建立将有力地带动我国PVD涂层行业的研究和发展，提升我国智能制造的整体水平，增强我国PVD涂层技术参与国际竞争的能力，降低对进口涂层技术和设备的依赖程度，提升国内PVD涂层的制造水平和竞争能力，符合市场的发展需求，并形成支撑企业高速发展和提高竞争力的具有自主知识产权的核心技术。同时，将有效提高所加工零件生产质量和生产效率，降低制造成本，不仅对推动我国制造业赶超世界先进水平具有极为重要的意义，而且对提高我国制造业高效高速切削的技术水平、生产效率、节约能源、绿色加工等都具有显著的社会经济效益。项目完成后可掌握多项自有知识产权的核心技术，如涂层工艺技术、涂层国产化装备、涂层表面检测技术等，有力地推动上下游行业发展。</w:t>
      </w:r>
    </w:p>
    <w:p>
      <w:pPr>
        <w:snapToGrid w:val="0"/>
        <w:spacing w:line="300" w:lineRule="auto"/>
        <w:ind w:firstLine="420"/>
        <w:rPr>
          <w:rFonts w:hint="eastAsia" w:ascii="楷体" w:hAnsi="楷体" w:eastAsia="楷体"/>
          <w:sz w:val="24"/>
        </w:rPr>
      </w:pPr>
      <w:r>
        <w:rPr>
          <w:rFonts w:hint="eastAsia" w:ascii="楷体" w:hAnsi="楷体" w:eastAsia="楷体"/>
          <w:sz w:val="24"/>
        </w:rPr>
        <w:t>同时，本中心将成为以国家需求为导向、重视应用技术研究的科研机构和人才培养基地，通过国际合作、技术培训、研究生培养等多种形式，为企业输送一大批重要技术骨干和精英，并使之成为推动产业可持续发展的中坚力量，全面提升PVD涂层技术研发的综合实力，加速新技术的产业化。</w:t>
      </w:r>
    </w:p>
    <w:p>
      <w:pPr>
        <w:snapToGrid w:val="0"/>
        <w:spacing w:line="300" w:lineRule="auto"/>
        <w:ind w:firstLine="420"/>
        <w:rPr>
          <w:rFonts w:hint="eastAsia" w:ascii="楷体" w:hAnsi="楷体" w:eastAsia="楷体"/>
          <w:sz w:val="24"/>
        </w:rPr>
      </w:pPr>
    </w:p>
    <w:p>
      <w:pPr>
        <w:snapToGrid w:val="0"/>
        <w:spacing w:line="300" w:lineRule="auto"/>
        <w:ind w:firstLine="420" w:firstLineChars="200"/>
        <w:rPr>
          <w:rFonts w:hint="eastAsia" w:asciiTheme="minorEastAsia" w:hAnsi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Cambria">
    <w:panose1 w:val="02040503050406030204"/>
    <w:charset w:val="00"/>
    <w:family w:val="auto"/>
    <w:pitch w:val="default"/>
    <w:sig w:usb0="E00002FF" w:usb1="400004FF" w:usb2="00000000" w:usb3="00000000" w:csb0="2000019F" w:csb1="0000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003" w:usb1="288F0000" w:usb2="00000006" w:usb3="00000000" w:csb0="00040001" w:csb1="00000000"/>
  </w:font>
  <w:font w:name="华文隶书">
    <w:panose1 w:val="02010800040101010101"/>
    <w:charset w:val="86"/>
    <w:family w:val="auto"/>
    <w:pitch w:val="default"/>
    <w:sig w:usb0="00000001" w:usb1="080F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1121"/>
    <w:multiLevelType w:val="multilevel"/>
    <w:tmpl w:val="29AD1121"/>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
    <w:nsid w:val="3B3D63F7"/>
    <w:multiLevelType w:val="multilevel"/>
    <w:tmpl w:val="3B3D63F7"/>
    <w:lvl w:ilvl="0" w:tentative="0">
      <w:start w:val="1"/>
      <w:numFmt w:val="decimal"/>
      <w:lvlText w:val="(%1)"/>
      <w:lvlJc w:val="left"/>
      <w:pPr>
        <w:ind w:left="955" w:hanging="480"/>
      </w:pPr>
      <w:rPr>
        <w:rFonts w:hint="eastAsia"/>
      </w:rPr>
    </w:lvl>
    <w:lvl w:ilvl="1" w:tentative="0">
      <w:start w:val="1"/>
      <w:numFmt w:val="lowerLetter"/>
      <w:lvlText w:val="%2)"/>
      <w:lvlJc w:val="left"/>
      <w:pPr>
        <w:ind w:left="1435" w:hanging="480"/>
      </w:pPr>
    </w:lvl>
    <w:lvl w:ilvl="2" w:tentative="0">
      <w:start w:val="1"/>
      <w:numFmt w:val="lowerRoman"/>
      <w:lvlText w:val="%3."/>
      <w:lvlJc w:val="right"/>
      <w:pPr>
        <w:ind w:left="1915" w:hanging="480"/>
      </w:pPr>
    </w:lvl>
    <w:lvl w:ilvl="3" w:tentative="0">
      <w:start w:val="1"/>
      <w:numFmt w:val="decimal"/>
      <w:lvlText w:val="%4."/>
      <w:lvlJc w:val="left"/>
      <w:pPr>
        <w:ind w:left="2395" w:hanging="480"/>
      </w:pPr>
    </w:lvl>
    <w:lvl w:ilvl="4" w:tentative="0">
      <w:start w:val="1"/>
      <w:numFmt w:val="lowerLetter"/>
      <w:lvlText w:val="%5)"/>
      <w:lvlJc w:val="left"/>
      <w:pPr>
        <w:ind w:left="2875" w:hanging="480"/>
      </w:pPr>
    </w:lvl>
    <w:lvl w:ilvl="5" w:tentative="0">
      <w:start w:val="1"/>
      <w:numFmt w:val="lowerRoman"/>
      <w:lvlText w:val="%6."/>
      <w:lvlJc w:val="right"/>
      <w:pPr>
        <w:ind w:left="3355" w:hanging="480"/>
      </w:pPr>
    </w:lvl>
    <w:lvl w:ilvl="6" w:tentative="0">
      <w:start w:val="1"/>
      <w:numFmt w:val="decimal"/>
      <w:lvlText w:val="%7."/>
      <w:lvlJc w:val="left"/>
      <w:pPr>
        <w:ind w:left="3835" w:hanging="480"/>
      </w:pPr>
    </w:lvl>
    <w:lvl w:ilvl="7" w:tentative="0">
      <w:start w:val="1"/>
      <w:numFmt w:val="lowerLetter"/>
      <w:lvlText w:val="%8)"/>
      <w:lvlJc w:val="left"/>
      <w:pPr>
        <w:ind w:left="4315" w:hanging="480"/>
      </w:pPr>
    </w:lvl>
    <w:lvl w:ilvl="8" w:tentative="0">
      <w:start w:val="1"/>
      <w:numFmt w:val="lowerRoman"/>
      <w:lvlText w:val="%9."/>
      <w:lvlJc w:val="right"/>
      <w:pPr>
        <w:ind w:left="479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5369"/>
    <w:rsid w:val="00005671"/>
    <w:rsid w:val="0001073F"/>
    <w:rsid w:val="00053DBC"/>
    <w:rsid w:val="000C4747"/>
    <w:rsid w:val="000C7ECF"/>
    <w:rsid w:val="00145DD2"/>
    <w:rsid w:val="001A2EBA"/>
    <w:rsid w:val="001B7A3D"/>
    <w:rsid w:val="00231848"/>
    <w:rsid w:val="002963CC"/>
    <w:rsid w:val="002F019F"/>
    <w:rsid w:val="00327241"/>
    <w:rsid w:val="00337C7A"/>
    <w:rsid w:val="00356232"/>
    <w:rsid w:val="00366ED5"/>
    <w:rsid w:val="004B73A3"/>
    <w:rsid w:val="004C00E8"/>
    <w:rsid w:val="004C0B86"/>
    <w:rsid w:val="00533242"/>
    <w:rsid w:val="00545369"/>
    <w:rsid w:val="00576EDE"/>
    <w:rsid w:val="00582152"/>
    <w:rsid w:val="005A0577"/>
    <w:rsid w:val="005E578E"/>
    <w:rsid w:val="00622BD3"/>
    <w:rsid w:val="006978F9"/>
    <w:rsid w:val="006B10A0"/>
    <w:rsid w:val="006E45FB"/>
    <w:rsid w:val="00747613"/>
    <w:rsid w:val="00780B6E"/>
    <w:rsid w:val="007D231B"/>
    <w:rsid w:val="00801A80"/>
    <w:rsid w:val="00856991"/>
    <w:rsid w:val="008D2486"/>
    <w:rsid w:val="008E7740"/>
    <w:rsid w:val="00931FCE"/>
    <w:rsid w:val="00A968A9"/>
    <w:rsid w:val="00B17A6E"/>
    <w:rsid w:val="00C66163"/>
    <w:rsid w:val="00D66DBD"/>
    <w:rsid w:val="00E00851"/>
    <w:rsid w:val="00E03310"/>
    <w:rsid w:val="00E66D07"/>
    <w:rsid w:val="00E718A5"/>
    <w:rsid w:val="00E71D2F"/>
    <w:rsid w:val="00EC15EF"/>
    <w:rsid w:val="00EF0218"/>
    <w:rsid w:val="00F34E71"/>
    <w:rsid w:val="00FB3FD5"/>
    <w:rsid w:val="00FB6F03"/>
    <w:rsid w:val="09A70554"/>
    <w:rsid w:val="141C09AB"/>
    <w:rsid w:val="28225001"/>
    <w:rsid w:val="2BCF4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页眉 Char"/>
    <w:basedOn w:val="6"/>
    <w:link w:val="4"/>
    <w:uiPriority w:val="99"/>
    <w:rPr>
      <w:rFonts w:ascii="Times New Roman" w:hAnsi="Times New Roman" w:eastAsia="宋体" w:cs="Times New Roman"/>
      <w:sz w:val="18"/>
      <w:szCs w:val="18"/>
    </w:rPr>
  </w:style>
  <w:style w:type="character" w:customStyle="1" w:styleId="9">
    <w:name w:val="页脚 Char"/>
    <w:basedOn w:val="6"/>
    <w:link w:val="3"/>
    <w:uiPriority w:val="99"/>
    <w:rPr>
      <w:rFonts w:ascii="Times New Roman" w:hAnsi="Times New Roman" w:eastAsia="宋体" w:cs="Times New Roman"/>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 w:type="paragraph" w:styleId="11">
    <w:name w:val="List Paragraph"/>
    <w:basedOn w:val="1"/>
    <w:qFormat/>
    <w:uiPriority w:val="34"/>
    <w:pPr>
      <w:widowControl/>
      <w:ind w:firstLine="420" w:firstLineChars="200"/>
      <w:jc w:val="left"/>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3"/>
    <customShpInfo spid="_x0000_s1034"/>
    <customShpInfo spid="_x0000_s1035"/>
    <customShpInfo spid="_x0000_s1036"/>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59EA28-6BA7-4211-BBF7-52526A1CC09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92</Words>
  <Characters>526</Characters>
  <Lines>4</Lines>
  <Paragraphs>1</Paragraphs>
  <TotalTime>3</TotalTime>
  <ScaleCrop>false</ScaleCrop>
  <LinksUpToDate>false</LinksUpToDate>
  <CharactersWithSpaces>617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2019-01-07T06:26:00Z</dcterms:created>
  <dc:creator>dreamsummit</dc:creator>
  <cp:lastModifiedBy>偏爱</cp:lastModifiedBy>
  <dcterms:modified xsi:type="dcterms:W3CDTF">2019-02-25T00:41:07Z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